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5E25" w:rsidRPr="0099796C" w:rsidRDefault="0099796C" w:rsidP="0099796C">
      <w:pPr>
        <w:spacing w:after="0" w:line="276" w:lineRule="auto"/>
        <w:ind w:right="-284"/>
        <w:jc w:val="both"/>
        <w:rPr>
          <w:rFonts w:ascii="Arial Narrow" w:hAnsi="Arial Narrow"/>
          <w:b/>
          <w:sz w:val="26"/>
          <w:szCs w:val="26"/>
        </w:rPr>
      </w:pPr>
      <w:r>
        <w:rPr>
          <w:rFonts w:ascii="Arial Narrow" w:hAnsi="Arial Narrow" w:cs="Calibri"/>
          <w:b/>
          <w:sz w:val="26"/>
          <w:szCs w:val="26"/>
        </w:rPr>
        <w:t xml:space="preserve">Załącznik nr 9 </w:t>
      </w:r>
      <w:r w:rsidR="00E74704" w:rsidRPr="0099796C">
        <w:rPr>
          <w:rFonts w:ascii="Arial Narrow" w:hAnsi="Arial Narrow" w:cs="Calibri"/>
          <w:b/>
          <w:sz w:val="26"/>
          <w:szCs w:val="26"/>
        </w:rPr>
        <w:t xml:space="preserve">Kryterium </w:t>
      </w:r>
      <w:r w:rsidR="00E74704" w:rsidRPr="0099796C">
        <w:rPr>
          <w:rFonts w:ascii="Arial Narrow" w:hAnsi="Arial Narrow"/>
          <w:b/>
          <w:sz w:val="26"/>
          <w:szCs w:val="26"/>
        </w:rPr>
        <w:t>efektywności zatrudnieniowej</w:t>
      </w:r>
    </w:p>
    <w:p w:rsidR="005E2B1B" w:rsidRPr="0099796C" w:rsidRDefault="005E2B1B" w:rsidP="005E2B1B">
      <w:pPr>
        <w:spacing w:after="0" w:line="276" w:lineRule="auto"/>
        <w:jc w:val="both"/>
        <w:rPr>
          <w:rFonts w:ascii="Arial Narrow" w:eastAsia="Calibri" w:hAnsi="Arial Narrow"/>
        </w:rPr>
      </w:pPr>
    </w:p>
    <w:p w:rsidR="00BA7197" w:rsidRPr="0099796C" w:rsidRDefault="005E2B1B" w:rsidP="005E2B1B">
      <w:pPr>
        <w:spacing w:after="0" w:line="276" w:lineRule="auto"/>
        <w:jc w:val="both"/>
        <w:rPr>
          <w:rFonts w:ascii="Arial Narrow" w:eastAsia="Calibri" w:hAnsi="Arial Narrow"/>
        </w:rPr>
      </w:pPr>
      <w:r w:rsidRPr="0099796C">
        <w:rPr>
          <w:rFonts w:ascii="Arial Narrow" w:eastAsia="Calibri" w:hAnsi="Arial Narrow"/>
        </w:rPr>
        <w:t>Benefic</w:t>
      </w:r>
      <w:r w:rsidR="00BA7197" w:rsidRPr="0099796C">
        <w:rPr>
          <w:rFonts w:ascii="Arial Narrow" w:eastAsia="Calibri" w:hAnsi="Arial Narrow"/>
        </w:rPr>
        <w:t>jent zobowiązany określić w projekcie minimalny poziom kryterium efektywności zatrudnieniowej w przypadku:</w:t>
      </w:r>
    </w:p>
    <w:p w:rsidR="00BA7197" w:rsidRPr="0099796C" w:rsidRDefault="00BA7197" w:rsidP="00BA7197">
      <w:pPr>
        <w:numPr>
          <w:ilvl w:val="0"/>
          <w:numId w:val="10"/>
        </w:numPr>
        <w:tabs>
          <w:tab w:val="left" w:pos="284"/>
        </w:tabs>
        <w:spacing w:after="0" w:line="276" w:lineRule="auto"/>
        <w:ind w:left="0" w:firstLine="0"/>
        <w:jc w:val="both"/>
        <w:rPr>
          <w:rFonts w:ascii="Arial Narrow" w:hAnsi="Arial Narrow" w:cs="Calibri"/>
        </w:rPr>
      </w:pPr>
      <w:r w:rsidRPr="0099796C">
        <w:rPr>
          <w:rFonts w:ascii="Arial Narrow" w:hAnsi="Arial Narrow" w:cs="Calibri"/>
        </w:rPr>
        <w:t xml:space="preserve">osób w wieku 50 lat i więcej, </w:t>
      </w:r>
    </w:p>
    <w:p w:rsidR="00BA7197" w:rsidRPr="0099796C" w:rsidRDefault="00BA7197" w:rsidP="00BA7197">
      <w:pPr>
        <w:numPr>
          <w:ilvl w:val="0"/>
          <w:numId w:val="10"/>
        </w:numPr>
        <w:spacing w:after="0" w:line="276" w:lineRule="auto"/>
        <w:ind w:left="317" w:hanging="317"/>
        <w:jc w:val="both"/>
        <w:rPr>
          <w:rFonts w:ascii="Arial Narrow" w:hAnsi="Arial Narrow" w:cs="Calibri"/>
        </w:rPr>
      </w:pPr>
      <w:r w:rsidRPr="0099796C">
        <w:rPr>
          <w:rFonts w:ascii="Arial Narrow" w:hAnsi="Arial Narrow" w:cs="Calibri"/>
        </w:rPr>
        <w:t>kobiet,</w:t>
      </w:r>
    </w:p>
    <w:p w:rsidR="00BA7197" w:rsidRPr="0099796C" w:rsidRDefault="00BA7197" w:rsidP="00BA7197">
      <w:pPr>
        <w:numPr>
          <w:ilvl w:val="0"/>
          <w:numId w:val="10"/>
        </w:numPr>
        <w:spacing w:after="0" w:line="276" w:lineRule="auto"/>
        <w:ind w:left="317" w:hanging="317"/>
        <w:jc w:val="both"/>
        <w:rPr>
          <w:rFonts w:ascii="Arial Narrow" w:hAnsi="Arial Narrow" w:cs="Calibri"/>
        </w:rPr>
      </w:pPr>
      <w:r w:rsidRPr="0099796C">
        <w:rPr>
          <w:rFonts w:ascii="Arial Narrow" w:hAnsi="Arial Narrow" w:cs="Calibri"/>
        </w:rPr>
        <w:t xml:space="preserve">osób z niepełnosprawnościami, </w:t>
      </w:r>
    </w:p>
    <w:p w:rsidR="00BA7197" w:rsidRPr="0099796C" w:rsidRDefault="00BA7197" w:rsidP="00BA7197">
      <w:pPr>
        <w:numPr>
          <w:ilvl w:val="0"/>
          <w:numId w:val="10"/>
        </w:numPr>
        <w:spacing w:after="0" w:line="276" w:lineRule="auto"/>
        <w:ind w:left="317" w:hanging="317"/>
        <w:contextualSpacing/>
        <w:jc w:val="both"/>
        <w:rPr>
          <w:rFonts w:ascii="Arial Narrow" w:hAnsi="Arial Narrow" w:cs="Calibri"/>
        </w:rPr>
      </w:pPr>
      <w:r w:rsidRPr="0099796C">
        <w:rPr>
          <w:rFonts w:ascii="Arial Narrow" w:hAnsi="Arial Narrow" w:cs="Calibri"/>
        </w:rPr>
        <w:t xml:space="preserve">osób długotrwale bezrobotnych, </w:t>
      </w:r>
    </w:p>
    <w:p w:rsidR="00BA7197" w:rsidRPr="0099796C" w:rsidRDefault="00BA7197" w:rsidP="00BA7197">
      <w:pPr>
        <w:numPr>
          <w:ilvl w:val="0"/>
          <w:numId w:val="10"/>
        </w:numPr>
        <w:spacing w:after="0" w:line="276" w:lineRule="auto"/>
        <w:ind w:left="317" w:hanging="317"/>
        <w:contextualSpacing/>
        <w:jc w:val="both"/>
        <w:rPr>
          <w:rFonts w:ascii="Arial Narrow" w:hAnsi="Arial Narrow" w:cs="Calibri"/>
        </w:rPr>
      </w:pPr>
      <w:r w:rsidRPr="0099796C">
        <w:rPr>
          <w:rFonts w:ascii="Arial Narrow" w:hAnsi="Arial Narrow" w:cs="Calibri"/>
        </w:rPr>
        <w:t xml:space="preserve">osób o niskich kwalifikacjach </w:t>
      </w:r>
    </w:p>
    <w:p w:rsidR="00BA7197" w:rsidRPr="0099796C" w:rsidRDefault="00BA7197" w:rsidP="00BA7197">
      <w:pPr>
        <w:jc w:val="both"/>
        <w:rPr>
          <w:rFonts w:ascii="Arial Narrow" w:hAnsi="Arial Narrow"/>
        </w:rPr>
      </w:pPr>
      <w:r w:rsidRPr="0099796C">
        <w:rPr>
          <w:rFonts w:ascii="Arial Narrow" w:hAnsi="Arial Narrow"/>
        </w:rPr>
        <w:t xml:space="preserve">na poziomie co najmniej wskazanym przez Ministerstwo Rozwoju oraz podanym do publicznej wiadomości na stronie internetowej </w:t>
      </w:r>
      <w:hyperlink r:id="rId9" w:history="1">
        <w:r w:rsidRPr="0099796C">
          <w:rPr>
            <w:rStyle w:val="Hipercze"/>
            <w:rFonts w:ascii="Arial Narrow" w:hAnsi="Arial Narrow" w:cs="Calibri"/>
            <w:color w:val="auto"/>
          </w:rPr>
          <w:t>www.funduszeeuropejskie.gov.pl</w:t>
        </w:r>
      </w:hyperlink>
      <w:r w:rsidRPr="0099796C">
        <w:rPr>
          <w:rFonts w:ascii="Arial Narrow" w:hAnsi="Arial Narrow"/>
        </w:rPr>
        <w:t xml:space="preserve"> w dziale: </w:t>
      </w:r>
      <w:r w:rsidRPr="0099796C">
        <w:rPr>
          <w:rFonts w:ascii="Arial Narrow" w:hAnsi="Arial Narrow"/>
          <w:i/>
        </w:rPr>
        <w:t>Zapoznaj się z prawem i dokumentami</w:t>
      </w:r>
      <w:r w:rsidRPr="0099796C">
        <w:rPr>
          <w:rFonts w:ascii="Arial Narrow" w:hAnsi="Arial Narrow"/>
        </w:rPr>
        <w:t xml:space="preserve">, </w:t>
      </w:r>
      <w:r w:rsidRPr="0099796C">
        <w:rPr>
          <w:rFonts w:ascii="Arial Narrow" w:hAnsi="Arial Narrow"/>
          <w:i/>
        </w:rPr>
        <w:t>Zalecenia i instrukcje</w:t>
      </w:r>
      <w:r w:rsidRPr="0099796C">
        <w:rPr>
          <w:rFonts w:ascii="Arial Narrow" w:hAnsi="Arial Narrow"/>
        </w:rPr>
        <w:t xml:space="preserve">. </w:t>
      </w:r>
    </w:p>
    <w:p w:rsidR="00BA7197" w:rsidRPr="0099796C" w:rsidRDefault="00BA7197" w:rsidP="00BA7197">
      <w:pPr>
        <w:jc w:val="both"/>
        <w:rPr>
          <w:rFonts w:ascii="Arial Narrow" w:hAnsi="Arial Narrow" w:cs="Calibri"/>
        </w:rPr>
      </w:pPr>
      <w:r w:rsidRPr="0099796C">
        <w:rPr>
          <w:rFonts w:ascii="Arial Narrow" w:hAnsi="Arial Narrow" w:cs="Calibri"/>
        </w:rPr>
        <w:t xml:space="preserve">Dla niniejszego konkursu, zgodnie z </w:t>
      </w:r>
      <w:r w:rsidR="006744C9">
        <w:rPr>
          <w:rFonts w:ascii="Arial Narrow" w:hAnsi="Arial Narrow" w:cs="Calibri"/>
        </w:rPr>
        <w:t xml:space="preserve">„Kryteriami wyboru projektów dla poszczególnych osi priorytetowych, działań i poddziałań RPO LUBUSKIE 2020 finansowanych z EFS”, </w:t>
      </w:r>
      <w:r w:rsidRPr="0099796C">
        <w:rPr>
          <w:rFonts w:ascii="Arial Narrow" w:hAnsi="Arial Narrow" w:cs="Calibri"/>
        </w:rPr>
        <w:t xml:space="preserve">„Komunikatem w sprawie wyznaczenia minimalnych poziomów kryterium efektywności zatrudnieniowej dla Regionalnych Programów Operacyjnych”  Ministerstwa Infrastruktury i Rozwoju </w:t>
      </w:r>
      <w:r w:rsidR="00D86898">
        <w:rPr>
          <w:rFonts w:ascii="Arial Narrow" w:hAnsi="Arial Narrow" w:cs="Calibri"/>
        </w:rPr>
        <w:t xml:space="preserve">z dnia 31.10.2016 </w:t>
      </w:r>
      <w:r w:rsidRPr="0099796C">
        <w:rPr>
          <w:rFonts w:ascii="Arial Narrow" w:hAnsi="Arial Narrow" w:cs="Calibri"/>
        </w:rPr>
        <w:t>r</w:t>
      </w:r>
      <w:r w:rsidR="00E74704" w:rsidRPr="0099796C">
        <w:rPr>
          <w:rFonts w:ascii="Arial Narrow" w:hAnsi="Arial Narrow" w:cs="Calibri"/>
        </w:rPr>
        <w:t>.</w:t>
      </w:r>
      <w:r w:rsidRPr="0099796C">
        <w:rPr>
          <w:rFonts w:ascii="Arial Narrow" w:hAnsi="Arial Narrow" w:cs="Calibri"/>
        </w:rPr>
        <w:t xml:space="preserve">, </w:t>
      </w:r>
      <w:r w:rsidR="00AD1D99" w:rsidRPr="0099796C">
        <w:rPr>
          <w:rFonts w:ascii="Arial Narrow" w:hAnsi="Arial Narrow" w:cs="Calibri"/>
        </w:rPr>
        <w:t xml:space="preserve">oraz pismem Ministerstwa </w:t>
      </w:r>
      <w:r w:rsidR="00D86898">
        <w:rPr>
          <w:rFonts w:ascii="Arial Narrow" w:hAnsi="Arial Narrow" w:cs="Calibri"/>
        </w:rPr>
        <w:t>Rozwoju (sygn. DZF-VI.7610.11.2016.SK) z dnia 31.10</w:t>
      </w:r>
      <w:r w:rsidR="00AD1D99" w:rsidRPr="0099796C">
        <w:rPr>
          <w:rFonts w:ascii="Arial Narrow" w:hAnsi="Arial Narrow" w:cs="Calibri"/>
        </w:rPr>
        <w:t>.2016 r.</w:t>
      </w:r>
      <w:r w:rsidR="000C2512" w:rsidRPr="000C2512">
        <w:rPr>
          <w:rFonts w:ascii="Arial Narrow" w:hAnsi="Arial Narrow" w:cs="Calibri"/>
        </w:rPr>
        <w:t xml:space="preserve"> </w:t>
      </w:r>
      <w:r w:rsidR="000C2512" w:rsidRPr="0099796C">
        <w:rPr>
          <w:rFonts w:ascii="Arial Narrow" w:hAnsi="Arial Narrow" w:cs="Calibri"/>
        </w:rPr>
        <w:t>minimalne poziomy kryterium efektywności zatrudnieniowej wynoszą odpowiednio</w:t>
      </w:r>
      <w:r w:rsidRPr="0099796C">
        <w:rPr>
          <w:rFonts w:ascii="Arial Narrow" w:hAnsi="Arial Narrow" w:cs="Calibri"/>
        </w:rPr>
        <w:t>:</w:t>
      </w:r>
    </w:p>
    <w:p w:rsidR="00BA7197" w:rsidRPr="0099796C" w:rsidRDefault="00BA7197" w:rsidP="00BA7197">
      <w:pPr>
        <w:numPr>
          <w:ilvl w:val="0"/>
          <w:numId w:val="8"/>
        </w:numPr>
        <w:spacing w:after="0" w:line="276" w:lineRule="auto"/>
        <w:jc w:val="both"/>
        <w:rPr>
          <w:rFonts w:ascii="Arial Narrow" w:hAnsi="Arial Narrow" w:cs="Calibri"/>
        </w:rPr>
      </w:pPr>
      <w:r w:rsidRPr="0099796C">
        <w:rPr>
          <w:rFonts w:ascii="Arial Narrow" w:hAnsi="Arial Narrow" w:cs="Calibri"/>
        </w:rPr>
        <w:t xml:space="preserve">minimalny poziom kryterium efektywności zatrudnieniowej w przypadku osób w wieku 50 lat i więcej – </w:t>
      </w:r>
      <w:r w:rsidR="00D86898">
        <w:rPr>
          <w:rFonts w:ascii="Arial Narrow" w:hAnsi="Arial Narrow" w:cs="Calibri"/>
          <w:b/>
        </w:rPr>
        <w:t>33</w:t>
      </w:r>
      <w:r w:rsidRPr="0099796C">
        <w:rPr>
          <w:rFonts w:ascii="Arial Narrow" w:hAnsi="Arial Narrow" w:cs="Calibri"/>
          <w:b/>
        </w:rPr>
        <w:t>%</w:t>
      </w:r>
    </w:p>
    <w:p w:rsidR="00BA7197" w:rsidRPr="0099796C" w:rsidRDefault="00BA7197" w:rsidP="00BA7197">
      <w:pPr>
        <w:numPr>
          <w:ilvl w:val="0"/>
          <w:numId w:val="8"/>
        </w:numPr>
        <w:spacing w:after="0" w:line="276" w:lineRule="auto"/>
        <w:jc w:val="both"/>
        <w:rPr>
          <w:rFonts w:ascii="Arial Narrow" w:hAnsi="Arial Narrow" w:cs="Calibri"/>
        </w:rPr>
      </w:pPr>
      <w:r w:rsidRPr="0099796C">
        <w:rPr>
          <w:rFonts w:ascii="Arial Narrow" w:hAnsi="Arial Narrow" w:cs="Calibri"/>
        </w:rPr>
        <w:t xml:space="preserve">minimalny poziom kryterium efektywności zatrudnieniowej w przypadku kobiet – </w:t>
      </w:r>
      <w:r w:rsidRPr="0099796C">
        <w:rPr>
          <w:rFonts w:ascii="Arial Narrow" w:hAnsi="Arial Narrow" w:cs="Calibri"/>
          <w:b/>
        </w:rPr>
        <w:t>39%</w:t>
      </w:r>
    </w:p>
    <w:p w:rsidR="00BA7197" w:rsidRPr="0099796C" w:rsidRDefault="00BA7197" w:rsidP="00BA7197">
      <w:pPr>
        <w:numPr>
          <w:ilvl w:val="0"/>
          <w:numId w:val="8"/>
        </w:numPr>
        <w:spacing w:after="0" w:line="276" w:lineRule="auto"/>
        <w:jc w:val="both"/>
        <w:rPr>
          <w:rFonts w:ascii="Arial Narrow" w:hAnsi="Arial Narrow" w:cs="Calibri"/>
        </w:rPr>
      </w:pPr>
      <w:r w:rsidRPr="0099796C">
        <w:rPr>
          <w:rFonts w:ascii="Arial Narrow" w:hAnsi="Arial Narrow" w:cs="Calibri"/>
        </w:rPr>
        <w:t xml:space="preserve">minimalny poziom kryterium efektywności zatrudnieniowej w przypadku osób z niepełnosprawnościami – </w:t>
      </w:r>
      <w:r w:rsidRPr="0099796C">
        <w:rPr>
          <w:rFonts w:ascii="Arial Narrow" w:hAnsi="Arial Narrow" w:cs="Calibri"/>
          <w:b/>
        </w:rPr>
        <w:t>33%</w:t>
      </w:r>
    </w:p>
    <w:p w:rsidR="00BA7197" w:rsidRPr="0099796C" w:rsidRDefault="00BA7197" w:rsidP="00BA7197">
      <w:pPr>
        <w:numPr>
          <w:ilvl w:val="0"/>
          <w:numId w:val="8"/>
        </w:numPr>
        <w:spacing w:after="0" w:line="276" w:lineRule="auto"/>
        <w:contextualSpacing/>
        <w:jc w:val="both"/>
        <w:rPr>
          <w:rFonts w:ascii="Arial Narrow" w:hAnsi="Arial Narrow" w:cs="Calibri"/>
        </w:rPr>
      </w:pPr>
      <w:r w:rsidRPr="0099796C">
        <w:rPr>
          <w:rFonts w:ascii="Arial Narrow" w:hAnsi="Arial Narrow" w:cs="Calibri"/>
        </w:rPr>
        <w:t>minimalny poziom kryterium efektywności zatrudnieniowej w przypadku osób długotrwale bezrobotnych</w:t>
      </w:r>
      <w:r w:rsidR="008F7A9B">
        <w:rPr>
          <w:rStyle w:val="Odwoanieprzypisudolnego"/>
          <w:rFonts w:ascii="Arial Narrow" w:hAnsi="Arial Narrow" w:cs="Calibri"/>
        </w:rPr>
        <w:footnoteReference w:id="1"/>
      </w:r>
      <w:r w:rsidRPr="0099796C">
        <w:rPr>
          <w:rFonts w:ascii="Arial Narrow" w:hAnsi="Arial Narrow" w:cs="Calibri"/>
        </w:rPr>
        <w:t xml:space="preserve"> – </w:t>
      </w:r>
      <w:r w:rsidRPr="0099796C">
        <w:rPr>
          <w:rFonts w:ascii="Arial Narrow" w:hAnsi="Arial Narrow" w:cs="Calibri"/>
          <w:b/>
        </w:rPr>
        <w:t>30%</w:t>
      </w:r>
    </w:p>
    <w:p w:rsidR="003759ED" w:rsidRPr="0099796C" w:rsidRDefault="00BA7197" w:rsidP="00D86898">
      <w:pPr>
        <w:numPr>
          <w:ilvl w:val="0"/>
          <w:numId w:val="8"/>
        </w:numPr>
        <w:spacing w:after="0" w:line="276" w:lineRule="auto"/>
        <w:contextualSpacing/>
        <w:jc w:val="both"/>
        <w:rPr>
          <w:rFonts w:ascii="Arial Narrow" w:hAnsi="Arial Narrow" w:cs="Calibri"/>
        </w:rPr>
      </w:pPr>
      <w:r w:rsidRPr="0099796C">
        <w:rPr>
          <w:rFonts w:ascii="Arial Narrow" w:hAnsi="Arial Narrow" w:cs="Calibri"/>
        </w:rPr>
        <w:t>minimalny poziom kryterium efektywności zatrudnieniowej w przypadku osób o niskich kwalifikacjach</w:t>
      </w:r>
      <w:r w:rsidR="00D86898">
        <w:rPr>
          <w:rFonts w:ascii="Arial Narrow" w:hAnsi="Arial Narrow" w:cs="Calibri"/>
        </w:rPr>
        <w:t xml:space="preserve"> (do</w:t>
      </w:r>
      <w:bookmarkStart w:id="0" w:name="_GoBack"/>
      <w:bookmarkEnd w:id="0"/>
      <w:r w:rsidR="00D86898">
        <w:rPr>
          <w:rFonts w:ascii="Arial Narrow" w:hAnsi="Arial Narrow" w:cs="Calibri"/>
        </w:rPr>
        <w:t xml:space="preserve"> poziomu ISCED 3) – </w:t>
      </w:r>
      <w:r w:rsidR="00D86898" w:rsidRPr="00D86898">
        <w:rPr>
          <w:rFonts w:ascii="Arial Narrow" w:hAnsi="Arial Narrow" w:cs="Calibri"/>
          <w:b/>
        </w:rPr>
        <w:t>38%</w:t>
      </w:r>
      <w:r w:rsidR="00D86898">
        <w:rPr>
          <w:rFonts w:ascii="Arial Narrow" w:hAnsi="Arial Narrow" w:cs="Calibri"/>
        </w:rPr>
        <w:t>.</w:t>
      </w:r>
    </w:p>
    <w:p w:rsidR="00BA7197" w:rsidRPr="0099796C" w:rsidRDefault="00BA7197" w:rsidP="00BA7197">
      <w:pPr>
        <w:jc w:val="both"/>
        <w:rPr>
          <w:rFonts w:ascii="Arial Narrow" w:hAnsi="Arial Narrow"/>
        </w:rPr>
      </w:pPr>
    </w:p>
    <w:p w:rsidR="00AA5E25" w:rsidRPr="0099796C" w:rsidRDefault="00AA5E25" w:rsidP="005E2B1B">
      <w:pPr>
        <w:spacing w:after="0" w:line="276" w:lineRule="auto"/>
        <w:jc w:val="both"/>
        <w:rPr>
          <w:rFonts w:ascii="Arial Narrow" w:eastAsia="Calibri" w:hAnsi="Arial Narrow"/>
        </w:rPr>
      </w:pPr>
      <w:r w:rsidRPr="0099796C">
        <w:rPr>
          <w:rFonts w:ascii="Arial Narrow" w:hAnsi="Arial Narrow"/>
          <w:b/>
        </w:rPr>
        <w:t xml:space="preserve">Informacja dot. sposobu i mierzenia efektywności zatrudnieniowej: </w:t>
      </w:r>
    </w:p>
    <w:p w:rsidR="00AA6405" w:rsidRPr="00AA6405" w:rsidRDefault="00AA5E25" w:rsidP="00BA7197">
      <w:pPr>
        <w:pStyle w:val="Akapitzlist"/>
        <w:rPr>
          <w:rFonts w:eastAsiaTheme="minorHAnsi"/>
          <w:lang w:eastAsia="en-US"/>
        </w:rPr>
      </w:pPr>
      <w:r w:rsidRPr="0099796C">
        <w:t xml:space="preserve">Efektywność zatrudnieniowa </w:t>
      </w:r>
      <w:r w:rsidR="005E2B1B" w:rsidRPr="0099796C">
        <w:t xml:space="preserve">zgodnie z </w:t>
      </w:r>
      <w:r w:rsidR="00BA7197" w:rsidRPr="0099796C">
        <w:rPr>
          <w:i/>
        </w:rPr>
        <w:t xml:space="preserve">Wytycznymi </w:t>
      </w:r>
      <w:r w:rsidR="00BA7197" w:rsidRPr="0099796C">
        <w:rPr>
          <w:rFonts w:eastAsiaTheme="minorHAnsi" w:cs="Arial"/>
          <w:bCs/>
          <w:i/>
          <w:lang w:eastAsia="en-US"/>
        </w:rPr>
        <w:t>w zakresie realizacji przedsięwzięć z udziałem środków Europejskiego Funduszu Społecznego w obszarze rynku pracy na lata 2014-2020</w:t>
      </w:r>
      <w:r w:rsidR="00BA7197" w:rsidRPr="0099796C">
        <w:rPr>
          <w:rFonts w:ascii="Arial" w:eastAsiaTheme="minorHAnsi" w:hAnsi="Arial" w:cs="Arial"/>
          <w:b/>
          <w:bCs/>
          <w:sz w:val="23"/>
          <w:szCs w:val="23"/>
          <w:lang w:eastAsia="en-US"/>
        </w:rPr>
        <w:t xml:space="preserve"> </w:t>
      </w:r>
      <w:r w:rsidRPr="0099796C">
        <w:t xml:space="preserve">jest mierzona </w:t>
      </w:r>
      <w:r w:rsidR="00FD60F6">
        <w:t xml:space="preserve">wyłącznie </w:t>
      </w:r>
      <w:r w:rsidRPr="0099796C">
        <w:t xml:space="preserve">wśród </w:t>
      </w:r>
      <w:r w:rsidR="00FD60F6">
        <w:t xml:space="preserve">tych </w:t>
      </w:r>
      <w:r w:rsidRPr="0099796C">
        <w:t>uczestników projektu, którzy w momencie rozpoczęcia udziału w projekcie byli osobami bezrobotnymi lub osobami biernymi zawodowo</w:t>
      </w:r>
      <w:r w:rsidR="00AA6405">
        <w:t>,</w:t>
      </w:r>
      <w:r w:rsidRPr="0099796C">
        <w:t xml:space="preserve"> z wyłączeniem osób, które w ramach projektu lub po zakończeniu jego realizacji podjęły naukę w</w:t>
      </w:r>
      <w:r w:rsidR="00C7056D">
        <w:t> </w:t>
      </w:r>
      <w:r w:rsidRPr="0099796C">
        <w:t>formach szkolnych lub otrzymały środki na pod</w:t>
      </w:r>
      <w:r w:rsidR="00DD69E2">
        <w:t>jęcie działalności gospodarczej</w:t>
      </w:r>
      <w:r w:rsidR="00AA6405">
        <w:t xml:space="preserve"> z EFS</w:t>
      </w:r>
      <w:r w:rsidRPr="0099796C">
        <w:t xml:space="preserve">. </w:t>
      </w:r>
    </w:p>
    <w:p w:rsidR="00AA6405" w:rsidRDefault="00AA6405" w:rsidP="00AA6405">
      <w:pPr>
        <w:pStyle w:val="Akapitzlist"/>
        <w:numPr>
          <w:ilvl w:val="0"/>
          <w:numId w:val="0"/>
        </w:numPr>
      </w:pPr>
    </w:p>
    <w:p w:rsidR="00D76735" w:rsidRDefault="00627832" w:rsidP="00D76735">
      <w:pPr>
        <w:pStyle w:val="Akapitzlist"/>
        <w:numPr>
          <w:ilvl w:val="0"/>
          <w:numId w:val="0"/>
        </w:numPr>
      </w:pPr>
      <w:r>
        <w:t xml:space="preserve">2. </w:t>
      </w:r>
      <w:r w:rsidR="00D76735">
        <w:t>E</w:t>
      </w:r>
      <w:r w:rsidR="00D76735">
        <w:t>fektywność zatrudnieniowa jest mierzona wśród uczestników projektu, którzy:</w:t>
      </w:r>
    </w:p>
    <w:p w:rsidR="00D76735" w:rsidRDefault="00D76735" w:rsidP="00D76735">
      <w:pPr>
        <w:pStyle w:val="Akapitzlist"/>
        <w:numPr>
          <w:ilvl w:val="0"/>
          <w:numId w:val="0"/>
        </w:numPr>
      </w:pPr>
      <w:r>
        <w:t>i. zakończyli udział w projekcie; zakończenie udziału w projekcie to zakończenie uczestnictwa w formie lub formach wsparcia przewidzianych dla danego uczestnika w ramach projektu EFS;</w:t>
      </w:r>
    </w:p>
    <w:p w:rsidR="00D76735" w:rsidRDefault="00D76735" w:rsidP="00D76735">
      <w:pPr>
        <w:pStyle w:val="Akapitzlist"/>
        <w:numPr>
          <w:ilvl w:val="0"/>
          <w:numId w:val="0"/>
        </w:numPr>
      </w:pPr>
      <w:r>
        <w:t xml:space="preserve">ii. przerwali udział w projekcie wcześniej, niż uprzednio było to planowane z powodu podjęcia pracy spełniającej warunki opisane </w:t>
      </w:r>
      <w:r w:rsidR="00627832" w:rsidRPr="00FD60F6">
        <w:t>w pkt. 8</w:t>
      </w:r>
      <w:r w:rsidR="004F0B33" w:rsidRPr="00FD60F6">
        <w:t xml:space="preserve"> - 10</w:t>
      </w:r>
      <w:r w:rsidRPr="00FD60F6">
        <w:t>;</w:t>
      </w:r>
    </w:p>
    <w:p w:rsidR="00D76735" w:rsidRDefault="00D76735" w:rsidP="00D76735">
      <w:pPr>
        <w:pStyle w:val="Akapitzlist"/>
        <w:numPr>
          <w:ilvl w:val="0"/>
          <w:numId w:val="0"/>
        </w:numPr>
      </w:pPr>
      <w:r>
        <w:t>iii. podjęli pracę, jednak jednocześnie kontynuowali udział w p</w:t>
      </w:r>
      <w:r>
        <w:t>rojekcie</w:t>
      </w:r>
      <w:r>
        <w:rPr>
          <w:rStyle w:val="Odwoanieprzypisudolnego"/>
        </w:rPr>
        <w:footnoteReference w:id="2"/>
      </w:r>
      <w:r>
        <w:t>;</w:t>
      </w:r>
    </w:p>
    <w:p w:rsidR="00D76735" w:rsidRDefault="00627832" w:rsidP="00D76735">
      <w:pPr>
        <w:pStyle w:val="Akapitzlist"/>
        <w:numPr>
          <w:ilvl w:val="0"/>
          <w:numId w:val="0"/>
        </w:numPr>
      </w:pPr>
      <w:r>
        <w:lastRenderedPageBreak/>
        <w:t xml:space="preserve">3. </w:t>
      </w:r>
      <w:r w:rsidR="00D76735">
        <w:t>Z</w:t>
      </w:r>
      <w:r w:rsidR="00D76735">
        <w:t>atrudnienie to podjęcie pracy w oparciu o:</w:t>
      </w:r>
    </w:p>
    <w:p w:rsidR="00D76735" w:rsidRDefault="00D76735" w:rsidP="00D76735">
      <w:pPr>
        <w:pStyle w:val="Akapitzlist"/>
        <w:numPr>
          <w:ilvl w:val="0"/>
          <w:numId w:val="0"/>
        </w:numPr>
      </w:pPr>
      <w:r>
        <w:t>i. stosunek pracy (regulowany w szczególności ustawą z dnia 26 czerwca 1974 r. - Kodeks pracy - Dz. U. z 2016 r. poz. 1666);</w:t>
      </w:r>
    </w:p>
    <w:p w:rsidR="00D76735" w:rsidRDefault="00D76735" w:rsidP="00D76735">
      <w:pPr>
        <w:pStyle w:val="Akapitzlist"/>
        <w:numPr>
          <w:ilvl w:val="0"/>
          <w:numId w:val="0"/>
        </w:numPr>
      </w:pPr>
      <w:r>
        <w:t xml:space="preserve">ii. stosunek cywilnoprawny (regulowany ustawą z dnia 23 kwietnia 1964 r. - Kodeks cywilny - Dz. U. z 2016 r. poz. 380, z </w:t>
      </w:r>
      <w:proofErr w:type="spellStart"/>
      <w:r>
        <w:t>późn</w:t>
      </w:r>
      <w:proofErr w:type="spellEnd"/>
      <w:r>
        <w:t>. zm.);</w:t>
      </w:r>
    </w:p>
    <w:p w:rsidR="00D76735" w:rsidRDefault="00D76735" w:rsidP="00D76735">
      <w:pPr>
        <w:pStyle w:val="Akapitzlist"/>
        <w:numPr>
          <w:ilvl w:val="0"/>
          <w:numId w:val="0"/>
        </w:numPr>
      </w:pPr>
      <w:r>
        <w:t xml:space="preserve">iii. podjęcie działalności gospodarczej (regulowane w szczególności ustawą z dnia 2 lipca 2004 r. o swobodzie działalności gospodarczej - Dz. U. z 2015 r. poz. 584, z </w:t>
      </w:r>
      <w:proofErr w:type="spellStart"/>
      <w:r>
        <w:t>późn</w:t>
      </w:r>
      <w:proofErr w:type="spellEnd"/>
      <w:r>
        <w:t>. zm.);</w:t>
      </w:r>
    </w:p>
    <w:p w:rsidR="00627832" w:rsidRDefault="00627832" w:rsidP="00D76735">
      <w:pPr>
        <w:pStyle w:val="Akapitzlist"/>
        <w:numPr>
          <w:ilvl w:val="0"/>
          <w:numId w:val="0"/>
        </w:numPr>
      </w:pPr>
    </w:p>
    <w:p w:rsidR="00627832" w:rsidRDefault="00627832" w:rsidP="00D76735">
      <w:pPr>
        <w:pStyle w:val="Akapitzlist"/>
        <w:numPr>
          <w:ilvl w:val="0"/>
          <w:numId w:val="0"/>
        </w:numPr>
      </w:pPr>
      <w:r>
        <w:t>4. K</w:t>
      </w:r>
      <w:r w:rsidRPr="00627832">
        <w:t xml:space="preserve">ryterium efektywności zatrudnieniowej odnosi się do odsetka osób, które podjęły pracę w okresie do trzech miesięcy od zakończenia udziału </w:t>
      </w:r>
      <w:r w:rsidR="00C7056D">
        <w:t>w projekcie, w rozumieniu pkt.</w:t>
      </w:r>
      <w:r>
        <w:t xml:space="preserve"> 2</w:t>
      </w:r>
      <w:r w:rsidRPr="00627832">
        <w:t xml:space="preserve"> </w:t>
      </w:r>
      <w:proofErr w:type="spellStart"/>
      <w:r w:rsidRPr="00627832">
        <w:t>ppkt</w:t>
      </w:r>
      <w:proofErr w:type="spellEnd"/>
      <w:r w:rsidRPr="00627832">
        <w:t xml:space="preserve"> i oraz odsetka osób, które podjęły pracę</w:t>
      </w:r>
      <w:r>
        <w:t xml:space="preserve"> w </w:t>
      </w:r>
      <w:r w:rsidR="00C7056D">
        <w:t>sytuacjach opisanych w pkt.</w:t>
      </w:r>
      <w:r>
        <w:t xml:space="preserve"> 2</w:t>
      </w:r>
      <w:r w:rsidRPr="00627832">
        <w:t xml:space="preserve"> </w:t>
      </w:r>
      <w:proofErr w:type="spellStart"/>
      <w:r w:rsidRPr="00627832">
        <w:t>ppkt</w:t>
      </w:r>
      <w:proofErr w:type="spellEnd"/>
      <w:r w:rsidRPr="00627832">
        <w:t xml:space="preserve"> ii oraz </w:t>
      </w:r>
      <w:proofErr w:type="spellStart"/>
      <w:r w:rsidRPr="00627832">
        <w:t>ppkt</w:t>
      </w:r>
      <w:proofErr w:type="spellEnd"/>
      <w:r w:rsidRPr="00627832">
        <w:t xml:space="preserve"> iii;</w:t>
      </w:r>
    </w:p>
    <w:p w:rsidR="00627832" w:rsidRDefault="00627832" w:rsidP="00D76735">
      <w:pPr>
        <w:pStyle w:val="Akapitzlist"/>
        <w:numPr>
          <w:ilvl w:val="0"/>
          <w:numId w:val="0"/>
        </w:numPr>
      </w:pPr>
    </w:p>
    <w:p w:rsidR="00627832" w:rsidRDefault="00627832" w:rsidP="00D76735">
      <w:pPr>
        <w:pStyle w:val="Akapitzlist"/>
        <w:numPr>
          <w:ilvl w:val="0"/>
          <w:numId w:val="0"/>
        </w:numPr>
      </w:pPr>
      <w:r>
        <w:t>5. P</w:t>
      </w:r>
      <w:r w:rsidRPr="00627832">
        <w:t>odczas pomiaru spełnienia kryterium efektywności zatrudnieniowej, uczestników projektu należy wykazywać w</w:t>
      </w:r>
      <w:r>
        <w:t> </w:t>
      </w:r>
      <w:r w:rsidRPr="00627832">
        <w:t>momencie podjęcia pracy, ale nie później niż po upływie trzech miesięcy od zakończenia udziału w projekcie. W</w:t>
      </w:r>
      <w:r>
        <w:t> </w:t>
      </w:r>
      <w:r w:rsidRPr="00627832">
        <w:t>przypadku niepodjęcia pracy przez uczestnika projektu, jest on uwzględniany (w mianowniku wskaźnika efektywności zatrudnieniowej) nie wcześniej niż po upływie trzech miesięcy, następujących po dniu zakończenia udziału w projekcie. W przypadku uczestników projektu, którzy podjęli działalność gospodarczą, okres prowadzenia działalności gospodarczej nie podlega monitorowaniu, jednak działalność powinna zostać podjęta w okresie trzech miesięcy od zakończenia udziału w projekcie. Uczestnik projektu jest wykazywany we właściwym wskaźniku dotyczącym efektywności zatrudnieniowej w momencie podjęcia działalności gospodarczej;</w:t>
      </w:r>
    </w:p>
    <w:p w:rsidR="00627832" w:rsidRDefault="00627832" w:rsidP="00D76735">
      <w:pPr>
        <w:pStyle w:val="Akapitzlist"/>
        <w:numPr>
          <w:ilvl w:val="0"/>
          <w:numId w:val="0"/>
        </w:numPr>
      </w:pPr>
    </w:p>
    <w:p w:rsidR="00627832" w:rsidRDefault="00627832" w:rsidP="00D76735">
      <w:pPr>
        <w:pStyle w:val="Akapitzlist"/>
        <w:numPr>
          <w:ilvl w:val="0"/>
          <w:numId w:val="0"/>
        </w:numPr>
      </w:pPr>
      <w:r>
        <w:t>6. S</w:t>
      </w:r>
      <w:r w:rsidRPr="00627832">
        <w:t>pełnienie kryterium efektywności zatrudnieniowej jest monitorowane od początku realizacji projektu (narastająco);</w:t>
      </w:r>
    </w:p>
    <w:p w:rsidR="00627832" w:rsidRDefault="00627832" w:rsidP="00D76735">
      <w:pPr>
        <w:pStyle w:val="Akapitzlist"/>
        <w:numPr>
          <w:ilvl w:val="0"/>
          <w:numId w:val="0"/>
        </w:numPr>
      </w:pPr>
    </w:p>
    <w:p w:rsidR="00627832" w:rsidRDefault="00627832" w:rsidP="00D76735">
      <w:pPr>
        <w:pStyle w:val="Akapitzlist"/>
        <w:numPr>
          <w:ilvl w:val="0"/>
          <w:numId w:val="0"/>
        </w:numPr>
      </w:pPr>
      <w:r>
        <w:t>7. P</w:t>
      </w:r>
      <w:r w:rsidRPr="00627832">
        <w:t>rzez trzy miesiące należy rozumieć okres co</w:t>
      </w:r>
      <w:r>
        <w:t xml:space="preserve"> najmniej 90 dni kalendarzowych</w:t>
      </w:r>
      <w:r>
        <w:rPr>
          <w:rStyle w:val="Odwoanieprzypisudolnego"/>
        </w:rPr>
        <w:footnoteReference w:id="3"/>
      </w:r>
      <w:r w:rsidRPr="00627832">
        <w:t>;</w:t>
      </w:r>
    </w:p>
    <w:p w:rsidR="00627832" w:rsidRDefault="00627832" w:rsidP="00D76735">
      <w:pPr>
        <w:pStyle w:val="Akapitzlist"/>
        <w:numPr>
          <w:ilvl w:val="0"/>
          <w:numId w:val="0"/>
        </w:numPr>
      </w:pPr>
    </w:p>
    <w:p w:rsidR="00627832" w:rsidRDefault="00627832" w:rsidP="00D76735">
      <w:pPr>
        <w:pStyle w:val="Akapitzlist"/>
        <w:numPr>
          <w:ilvl w:val="0"/>
          <w:numId w:val="0"/>
        </w:numPr>
      </w:pPr>
      <w:r>
        <w:t>8. K</w:t>
      </w:r>
      <w:r w:rsidRPr="00627832">
        <w:t>ryterium efektywności zatrudnieniowej w przypadku stosunku pracy należy uznać za spełnione jeżeli uczestnik projektu zostanie zatrudniony na nieprzerwany okres (tj. okres zatrudnienia musi być ciągły, bez przerw – wyjątek stanowią dni świąteczne, które nie są traktowane jako przerwy w zatrudnieniu) co najmniej trzech miesięcy, przynajmniej na ½ etatu. Istotna jest data rozpoczęcia pracy wskazana w dokumencie stanowiącym podstawę nawiązania stosunku pracy. Tym samym, co do zasady powinna to być jedna umowa (lub inny dokument będący podstawą nawiązania stosunku pracy) zawarta w związku z nawiązaniem stosunku pracy na minimum trzy miesiące i przynajmniej na ½ etatu. Niemniej, dopuszcza się również sytuacje, w których uczestnik udokumentuje fakt podjęcia pracy na podstawie kilku umów (lub innych dokumentów stanowiących podstawę do nawiązania stosunku pracy), pod warunkiem potwierdzenia zatrudnienia na łączny okres trzech miesięcy (do tego okresu nie należy wliczać ewentualnych przerw w zatrudnieniu) i zachowania minimalnego wymiaru etatu w wysokości ½ dla każdej umowy;</w:t>
      </w:r>
    </w:p>
    <w:p w:rsidR="009E1507" w:rsidRDefault="009E1507" w:rsidP="00D76735">
      <w:pPr>
        <w:pStyle w:val="Akapitzlist"/>
        <w:numPr>
          <w:ilvl w:val="0"/>
          <w:numId w:val="0"/>
        </w:numPr>
      </w:pPr>
    </w:p>
    <w:p w:rsidR="009E1507" w:rsidRDefault="00FA31F6" w:rsidP="00FA31F6">
      <w:pPr>
        <w:pStyle w:val="Akapitzlist"/>
        <w:numPr>
          <w:ilvl w:val="0"/>
          <w:numId w:val="0"/>
        </w:numPr>
      </w:pPr>
      <w:r>
        <w:t>9. W</w:t>
      </w:r>
      <w:r w:rsidR="009E1507">
        <w:t xml:space="preserve"> przypadku, gdy uczestnik projektu rozpoczął realizację zadań na podstawie umowy cywilnoprawnej, warunkiem uwzględnienia takiej osoby w liczbie uczestników projektu, którzy podjęli pracę po zakończeniu wsparcia je</w:t>
      </w:r>
      <w:r>
        <w:t>st spełnienie dwóch przesłanek</w:t>
      </w:r>
      <w:r>
        <w:rPr>
          <w:rStyle w:val="Odwoanieprzypisudolnego"/>
        </w:rPr>
        <w:footnoteReference w:id="4"/>
      </w:r>
      <w:r w:rsidR="009E1507">
        <w:t>:</w:t>
      </w:r>
    </w:p>
    <w:p w:rsidR="009E1507" w:rsidRDefault="009E1507" w:rsidP="00FA31F6">
      <w:pPr>
        <w:pStyle w:val="Akapitzlist"/>
        <w:numPr>
          <w:ilvl w:val="0"/>
          <w:numId w:val="0"/>
        </w:numPr>
      </w:pPr>
      <w:r>
        <w:lastRenderedPageBreak/>
        <w:t>i. umowa cywilnoprawna jest zawarta na minimum trzy miesiące, a w przypadku kilku umów cywilnoprawnych łączny okres ic</w:t>
      </w:r>
      <w:r w:rsidR="00B663EE">
        <w:t>h trwania wynosi nieprzerwanie</w:t>
      </w:r>
      <w:r w:rsidR="00B663EE">
        <w:rPr>
          <w:rStyle w:val="Odwoanieprzypisudolnego"/>
        </w:rPr>
        <w:footnoteReference w:id="5"/>
      </w:r>
      <w:r>
        <w:t xml:space="preserve"> minimum trzy miesiące oraz</w:t>
      </w:r>
    </w:p>
    <w:p w:rsidR="009E1507" w:rsidRDefault="009E1507" w:rsidP="009E1507">
      <w:pPr>
        <w:pStyle w:val="Akapitzlist"/>
        <w:numPr>
          <w:ilvl w:val="0"/>
          <w:numId w:val="0"/>
        </w:numPr>
      </w:pPr>
      <w:r>
        <w:t>ii. wartość umowy lub łączna wartość umów jest równa lub wyższa od trzykrotności minimalnego wynagrodzenia za pracę ustalanego na podstawie przepisów o min</w:t>
      </w:r>
      <w:r w:rsidR="00B663EE">
        <w:t>imalnym wynagrodzeniu za pracę</w:t>
      </w:r>
      <w:r w:rsidR="00B663EE">
        <w:rPr>
          <w:rStyle w:val="Odwoanieprzypisudolnego"/>
        </w:rPr>
        <w:footnoteReference w:id="6"/>
      </w:r>
      <w:r>
        <w:t>, natomiast</w:t>
      </w:r>
      <w:r w:rsidR="00FA31F6">
        <w:t xml:space="preserve"> </w:t>
      </w:r>
      <w:r w:rsidR="00FA31F6" w:rsidRPr="00FA31F6">
        <w:t>stawka za godzinę pracy nie może być niższa od minimalnej stawki godzinowej ustalonej na podstawie przepisów o minimalnym wynagrodzeniu za pracę. W przypadku umów cywilnoprawnych zawartych do końca 2016 r., wysokość stawki godzinowej nie może być niższa niż iloraz minimalnego wynagrodzenia za pracę (ustalonego na podstawie przepisów o minimalnym wynagrodzeniu za pracę) oraz liczby godzin roboczych przypadających w danym miesiącu.</w:t>
      </w:r>
    </w:p>
    <w:p w:rsidR="00B663EE" w:rsidRDefault="00B663EE" w:rsidP="009E1507">
      <w:pPr>
        <w:pStyle w:val="Akapitzlist"/>
        <w:numPr>
          <w:ilvl w:val="0"/>
          <w:numId w:val="0"/>
        </w:numPr>
      </w:pPr>
    </w:p>
    <w:p w:rsidR="00B663EE" w:rsidRDefault="00B663EE" w:rsidP="009E1507">
      <w:pPr>
        <w:pStyle w:val="Akapitzlist"/>
        <w:numPr>
          <w:ilvl w:val="0"/>
          <w:numId w:val="0"/>
        </w:numPr>
      </w:pPr>
      <w:r w:rsidRPr="00B663EE">
        <w:t>W przypadku umowy/umów o dzieło, w której/których nie określono czasu trwania, wartość umowy/umów musi być równa lub wyższa od trzykrotności minimalnego wynagrodzenia za pracę ustalanego na podstawie przepisów o minimalnym wynagrodzeniu za pracę;</w:t>
      </w:r>
    </w:p>
    <w:p w:rsidR="004F0B33" w:rsidRDefault="004F0B33" w:rsidP="009E1507">
      <w:pPr>
        <w:pStyle w:val="Akapitzlist"/>
        <w:numPr>
          <w:ilvl w:val="0"/>
          <w:numId w:val="0"/>
        </w:numPr>
      </w:pPr>
    </w:p>
    <w:p w:rsidR="004F0B33" w:rsidRDefault="004F0B33" w:rsidP="009E1507">
      <w:pPr>
        <w:pStyle w:val="Akapitzlist"/>
        <w:numPr>
          <w:ilvl w:val="0"/>
          <w:numId w:val="0"/>
        </w:numPr>
      </w:pPr>
      <w:r>
        <w:t>10</w:t>
      </w:r>
      <w:r w:rsidR="00B03F48">
        <w:t>. W</w:t>
      </w:r>
      <w:r w:rsidR="00B03F48" w:rsidRPr="00B03F48">
        <w:t>arunkiem uwzględnienia w liczbie osób pracujących uczestnika projektu, który po zakończeniu udziału w</w:t>
      </w:r>
      <w:r w:rsidR="00B03F48">
        <w:t> </w:t>
      </w:r>
      <w:r w:rsidR="00B03F48" w:rsidRPr="00B03F48">
        <w:t>projekcie podjął działalność gospodarczą, jest dostarczenie dokumentu potwierdzającego fakt założenia działalności gospodarczej w okresie trzech miesięcy od zakończenia udziału w projekcie (np. dowód opłacenia należnych składek na ubezpieczenia społeczne lub zaświadczenie wydane przez upoważniony organ – np. ZUS, Urząd Skarbowy, urząd miasta lub gminy, wpis KRS). Dokumentem potwierdzającym fakt założenia działalności gospodarczej może być również wyciąg z wpisu do CEIDG wydrukowany przez beneficjenta lub uczestnika projektu i dostarczony do beneficjenta;</w:t>
      </w:r>
    </w:p>
    <w:p w:rsidR="00B03F48" w:rsidRDefault="00B03F48" w:rsidP="009E1507">
      <w:pPr>
        <w:pStyle w:val="Akapitzlist"/>
        <w:numPr>
          <w:ilvl w:val="0"/>
          <w:numId w:val="0"/>
        </w:numPr>
      </w:pPr>
    </w:p>
    <w:p w:rsidR="00B03F48" w:rsidRDefault="00B03F48" w:rsidP="009E1507">
      <w:pPr>
        <w:pStyle w:val="Akapitzlist"/>
        <w:numPr>
          <w:ilvl w:val="0"/>
          <w:numId w:val="0"/>
        </w:numPr>
      </w:pPr>
      <w:r>
        <w:t>11. Z</w:t>
      </w:r>
      <w:r w:rsidRPr="00B03F48">
        <w:t xml:space="preserve"> kryterium efektywności zatrudnieniowej są wyłączone osoby, które podjęły działalność gospodarczą, w</w:t>
      </w:r>
      <w:r>
        <w:t> </w:t>
      </w:r>
      <w:r w:rsidRPr="00B03F48">
        <w:t xml:space="preserve">wyniku otrzymania w ramach projektu współfinansowanego z EFS (zarówno w danym projekcie realizowanym przez beneficjenta, jak i w innych projektach EFS) zwrotnych lub bezzwrotnych środków na ten cel. </w:t>
      </w:r>
    </w:p>
    <w:p w:rsidR="00B03F48" w:rsidRDefault="00B03F48" w:rsidP="009E1507">
      <w:pPr>
        <w:pStyle w:val="Akapitzlist"/>
        <w:numPr>
          <w:ilvl w:val="0"/>
          <w:numId w:val="0"/>
        </w:numPr>
      </w:pPr>
    </w:p>
    <w:p w:rsidR="00B03F48" w:rsidRDefault="00B03F48" w:rsidP="009E1507">
      <w:pPr>
        <w:pStyle w:val="Akapitzlist"/>
        <w:numPr>
          <w:ilvl w:val="0"/>
          <w:numId w:val="0"/>
        </w:numPr>
      </w:pPr>
      <w:r>
        <w:t>12. Z</w:t>
      </w:r>
      <w:r w:rsidRPr="00B03F48">
        <w:t>atrudnienie subsydiowane jest uwzględniane w kryterium efektywności zatrudnieniowej wyłącznie w</w:t>
      </w:r>
      <w:r>
        <w:t> </w:t>
      </w:r>
      <w:r w:rsidRPr="00B03F48">
        <w:t>przypadku realizacji tej formy wsparcia poza projektami współfinansowanymi ze środków EFS. W liczbie pracujących nie uwzględnia się zatem osoby, która została zatrudniona (zatrudnienie subsydiowane) w ramach projektu współfinansowanego z EFS. Niemniej w kryterium efektywności zatrudnieniowej uwzględniane są osoby, które po zakończeniu okresu refundacji</w:t>
      </w:r>
      <w:r>
        <w:t xml:space="preserve"> </w:t>
      </w:r>
      <w:r w:rsidRPr="00B03F48">
        <w:t>kosztów zatrudnienia współfinansowanych ze środków EFS zostały zatrudnione na okres co najmniej trzech miesięcy i przynajmniej na ½ etatu lub podjęły pracę w formie i n</w:t>
      </w:r>
      <w:r>
        <w:t>a warunkach określonych w pkt. 9 oraz 10</w:t>
      </w:r>
      <w:r w:rsidRPr="00B03F48">
        <w:t>;</w:t>
      </w:r>
    </w:p>
    <w:p w:rsidR="00404027" w:rsidRDefault="00404027" w:rsidP="009E1507">
      <w:pPr>
        <w:pStyle w:val="Akapitzlist"/>
        <w:numPr>
          <w:ilvl w:val="0"/>
          <w:numId w:val="0"/>
        </w:numPr>
      </w:pPr>
    </w:p>
    <w:p w:rsidR="00404027" w:rsidRDefault="00404027" w:rsidP="009E1507">
      <w:pPr>
        <w:pStyle w:val="Akapitzlist"/>
        <w:numPr>
          <w:ilvl w:val="0"/>
          <w:numId w:val="0"/>
        </w:numPr>
        <w:rPr>
          <w:b/>
        </w:rPr>
      </w:pPr>
      <w:r>
        <w:t>13. W</w:t>
      </w:r>
      <w:r w:rsidRPr="00404027">
        <w:t xml:space="preserve"> celu potwierdzenia podjęcia pracy wystarczające jest dostarczenie przez uczestnika projektu dokumentów potwierdzających podjęcie pracy na co najmniej trzy miesiące lub podjęcie działalności gospodarczej (np. kopia umowy o pracę lub umowy cywilnoprawnej, zaświadczenie z zakładu pracy o zatrudnieniu, zaświadczenie </w:t>
      </w:r>
      <w:r w:rsidRPr="00404027">
        <w:lastRenderedPageBreak/>
        <w:t xml:space="preserve">potwierdzające podjęcie działalności gospodarczej, dowód opłacenia należnych składek na ubezpieczenia społeczne). </w:t>
      </w:r>
      <w:r w:rsidRPr="00404027">
        <w:rPr>
          <w:b/>
        </w:rPr>
        <w:t>Mając na uwadze powyższe, na</w:t>
      </w:r>
      <w:r w:rsidR="00FD60F6">
        <w:rPr>
          <w:b/>
        </w:rPr>
        <w:t xml:space="preserve"> etapie rekrutacji do projektu B</w:t>
      </w:r>
      <w:r w:rsidRPr="00404027">
        <w:rPr>
          <w:b/>
        </w:rPr>
        <w:t xml:space="preserve">eneficjent powinien zobowiązać uczestników projektu do dostarczenia dokumentów potwierdzających podjęcie pracy do trzech miesięcy od wystąpienia sytuacji opisanych w </w:t>
      </w:r>
      <w:r w:rsidRPr="00FD60F6">
        <w:rPr>
          <w:b/>
        </w:rPr>
        <w:t>pkt. 2</w:t>
      </w:r>
      <w:r w:rsidRPr="00404027">
        <w:rPr>
          <w:b/>
        </w:rPr>
        <w:t xml:space="preserve"> - o ile uczestnik ten podejmie pracę;</w:t>
      </w:r>
    </w:p>
    <w:p w:rsidR="00F6140B" w:rsidRDefault="00F6140B" w:rsidP="00F6140B">
      <w:pPr>
        <w:pStyle w:val="Akapitzlist"/>
        <w:numPr>
          <w:ilvl w:val="0"/>
          <w:numId w:val="0"/>
        </w:numPr>
      </w:pPr>
    </w:p>
    <w:p w:rsidR="00F6140B" w:rsidRDefault="00F6140B" w:rsidP="00F6140B">
      <w:pPr>
        <w:pStyle w:val="Akapitzlist"/>
        <w:numPr>
          <w:ilvl w:val="0"/>
          <w:numId w:val="0"/>
        </w:numPr>
      </w:pPr>
      <w:r>
        <w:t xml:space="preserve">14. </w:t>
      </w:r>
      <w:r>
        <w:t>PUP-y mogą wykorzystywać dane dostępne w systemie ZUS na potrzeby monitorowania kryterium efektywności zatrudnieniowej, pod warunkiem:</w:t>
      </w:r>
    </w:p>
    <w:p w:rsidR="00F6140B" w:rsidRDefault="00F6140B" w:rsidP="00F6140B">
      <w:pPr>
        <w:pStyle w:val="Akapitzlist"/>
        <w:numPr>
          <w:ilvl w:val="0"/>
          <w:numId w:val="0"/>
        </w:numPr>
      </w:pPr>
      <w:r>
        <w:t>i. posiadania wydruku z systemu z pełnym zakresem danych niezbędnych do weryfikacji kryterium efektywności zatrudnieniowej oraz</w:t>
      </w:r>
    </w:p>
    <w:p w:rsidR="00F6140B" w:rsidRDefault="00F6140B" w:rsidP="00F6140B">
      <w:pPr>
        <w:pStyle w:val="Akapitzlist"/>
        <w:numPr>
          <w:ilvl w:val="0"/>
          <w:numId w:val="0"/>
        </w:numPr>
      </w:pPr>
      <w:r>
        <w:t>ii. możliwości weryfikacji spełnienia wszystkich warunków dotyczących podjęcia pracy wskazanych w Wytycznych;</w:t>
      </w:r>
    </w:p>
    <w:p w:rsidR="00A914E3" w:rsidRDefault="00A914E3" w:rsidP="00F6140B">
      <w:pPr>
        <w:pStyle w:val="Akapitzlist"/>
        <w:numPr>
          <w:ilvl w:val="0"/>
          <w:numId w:val="0"/>
        </w:numPr>
      </w:pPr>
    </w:p>
    <w:p w:rsidR="00A914E3" w:rsidRPr="00F6140B" w:rsidRDefault="00A914E3" w:rsidP="00F6140B">
      <w:pPr>
        <w:pStyle w:val="Akapitzlist"/>
        <w:numPr>
          <w:ilvl w:val="0"/>
          <w:numId w:val="0"/>
        </w:numPr>
      </w:pPr>
      <w:r>
        <w:t xml:space="preserve">15. </w:t>
      </w:r>
      <w:r w:rsidRPr="00A914E3">
        <w:t>kryterium efektywności zatrudnieniowej jest mierzone w odniesieniu do grup docelowych (np. osoby długotrwale bezrobotne, osoby z niepełnosprawnościami). Jeżeli jeden uczestnik projektu kwalifikuje się do kilku grup docelowych wówczas jest on wykazywany we wszystkich kategoriach, do których należy (np. długotrwałe</w:t>
      </w:r>
      <w:r>
        <w:t xml:space="preserve"> bezrobocie, niepełnosprawność).</w:t>
      </w:r>
    </w:p>
    <w:p w:rsidR="00D76735" w:rsidRDefault="00D76735" w:rsidP="00D76735">
      <w:pPr>
        <w:pStyle w:val="Akapitzlist"/>
        <w:numPr>
          <w:ilvl w:val="0"/>
          <w:numId w:val="0"/>
        </w:numPr>
      </w:pPr>
    </w:p>
    <w:p w:rsidR="00D76735" w:rsidRDefault="00D76735" w:rsidP="00D76735">
      <w:pPr>
        <w:pStyle w:val="Akapitzlist"/>
        <w:numPr>
          <w:ilvl w:val="0"/>
          <w:numId w:val="0"/>
        </w:numPr>
      </w:pPr>
    </w:p>
    <w:p w:rsidR="00D76735" w:rsidRDefault="00D76735" w:rsidP="00AA6405">
      <w:pPr>
        <w:pStyle w:val="Akapitzlist"/>
        <w:numPr>
          <w:ilvl w:val="0"/>
          <w:numId w:val="0"/>
        </w:numPr>
      </w:pPr>
    </w:p>
    <w:p w:rsidR="00AA5E25" w:rsidRPr="00D76735" w:rsidRDefault="00AA5E25" w:rsidP="00A914E3">
      <w:pPr>
        <w:pStyle w:val="Akapitzlist"/>
        <w:numPr>
          <w:ilvl w:val="0"/>
          <w:numId w:val="0"/>
        </w:numPr>
        <w:rPr>
          <w:color w:val="548DD4" w:themeColor="text2" w:themeTint="99"/>
        </w:rPr>
      </w:pPr>
    </w:p>
    <w:sectPr w:rsidR="00AA5E25" w:rsidRPr="00D76735" w:rsidSect="0099796C">
      <w:pgSz w:w="11906" w:h="16838"/>
      <w:pgMar w:top="1417" w:right="707"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0A1" w:rsidRDefault="001140A1" w:rsidP="003759ED">
      <w:pPr>
        <w:spacing w:after="0"/>
      </w:pPr>
      <w:r>
        <w:separator/>
      </w:r>
    </w:p>
  </w:endnote>
  <w:endnote w:type="continuationSeparator" w:id="0">
    <w:p w:rsidR="001140A1" w:rsidRDefault="001140A1" w:rsidP="003759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0A1" w:rsidRDefault="001140A1" w:rsidP="003759ED">
      <w:pPr>
        <w:spacing w:after="0"/>
      </w:pPr>
      <w:r>
        <w:separator/>
      </w:r>
    </w:p>
  </w:footnote>
  <w:footnote w:type="continuationSeparator" w:id="0">
    <w:p w:rsidR="001140A1" w:rsidRDefault="001140A1" w:rsidP="003759ED">
      <w:pPr>
        <w:spacing w:after="0"/>
      </w:pPr>
      <w:r>
        <w:continuationSeparator/>
      </w:r>
    </w:p>
  </w:footnote>
  <w:footnote w:id="1">
    <w:p w:rsidR="008F7A9B" w:rsidRDefault="008F7A9B" w:rsidP="008F7A9B">
      <w:pPr>
        <w:pStyle w:val="Tekstprzypisudolnego"/>
        <w:jc w:val="both"/>
        <w:rPr>
          <w:rFonts w:ascii="Arial Narrow" w:hAnsi="Arial Narrow"/>
          <w:sz w:val="18"/>
          <w:szCs w:val="18"/>
        </w:rPr>
      </w:pPr>
      <w:r>
        <w:rPr>
          <w:rStyle w:val="Odwoanieprzypisudolnego"/>
        </w:rPr>
        <w:footnoteRef/>
      </w:r>
      <w:r>
        <w:t xml:space="preserve"> </w:t>
      </w:r>
      <w:r w:rsidRPr="002A4039">
        <w:rPr>
          <w:rFonts w:ascii="Arial Narrow" w:hAnsi="Arial Narrow"/>
          <w:sz w:val="18"/>
          <w:szCs w:val="18"/>
        </w:rPr>
        <w:t xml:space="preserve">W ramach niniejszego konkursu </w:t>
      </w:r>
      <w:r w:rsidRPr="002A4039">
        <w:rPr>
          <w:rFonts w:ascii="Arial Narrow" w:hAnsi="Arial Narrow"/>
          <w:b/>
          <w:sz w:val="18"/>
          <w:szCs w:val="18"/>
        </w:rPr>
        <w:t>osobami długotrwale bezrobotnymi (jako grupą docelową) nie mogą być osoby zarejestrowane w powiatowym urzędzie pracy</w:t>
      </w:r>
      <w:r w:rsidRPr="002A4039">
        <w:rPr>
          <w:rFonts w:ascii="Arial Narrow" w:hAnsi="Arial Narrow"/>
          <w:sz w:val="18"/>
          <w:szCs w:val="18"/>
        </w:rPr>
        <w:t>. Osoby długotrwale bezrobotne należy rozumieć w myśl definicji zgodnej z badaniem aktywności ekonomicznej ludności (BAEL) ale bez możliwości uwzględniania osób zarejestrowanych jako bezrobotne. Grupę docelową (rozumianą jako osoby długotrwale bezrobotne) będą stanowiły osoby pozostające bez pracy nieprzerwanie przez okres ponad 12 miesięcy, gotowe do podjęcia zatrudnienia i aktywnie poszukujące pracy niezarejestrowane jako osoby bezrobotne w powiatowym urzędzie pracy. Status na rynku pracy jest określany w dniu rozpoczęcia udziału w projekcie. Wiek uczestników określany jest na podstawie daty urodzenia i ustalany w dniu rozpoczęcia udziału w projekcie.</w:t>
      </w:r>
    </w:p>
    <w:p w:rsidR="008F7A9B" w:rsidRDefault="008F7A9B" w:rsidP="008F7A9B">
      <w:pPr>
        <w:pStyle w:val="Tekstprzypisudolnego"/>
        <w:jc w:val="both"/>
      </w:pPr>
    </w:p>
  </w:footnote>
  <w:footnote w:id="2">
    <w:p w:rsidR="00D76735" w:rsidRDefault="00D76735">
      <w:pPr>
        <w:pStyle w:val="Tekstprzypisudolnego"/>
      </w:pPr>
      <w:r>
        <w:rPr>
          <w:rStyle w:val="Odwoanieprzypisudolnego"/>
        </w:rPr>
        <w:footnoteRef/>
      </w:r>
      <w:r>
        <w:t xml:space="preserve"> </w:t>
      </w:r>
      <w:r w:rsidRPr="00D76735">
        <w:rPr>
          <w:rFonts w:ascii="Arial Narrow" w:hAnsi="Arial Narrow"/>
          <w:sz w:val="18"/>
          <w:szCs w:val="18"/>
        </w:rPr>
        <w:t>Sytuacja, gdy osoba podejmie pracę, jednak kontynuuje udział w projekcie, dotyczyć może np. zatrudnienia wspomaganego, czy wsparcia w postaci zapewnienia miejsca opieki nad dzieckiem w wieku do lat 3.</w:t>
      </w:r>
      <w:r>
        <w:rPr>
          <w:sz w:val="16"/>
          <w:szCs w:val="16"/>
        </w:rPr>
        <w:t xml:space="preserve"> </w:t>
      </w:r>
      <w:r>
        <w:t xml:space="preserve"> </w:t>
      </w:r>
    </w:p>
  </w:footnote>
  <w:footnote w:id="3">
    <w:p w:rsidR="00627832" w:rsidRDefault="00627832">
      <w:pPr>
        <w:pStyle w:val="Tekstprzypisudolnego"/>
      </w:pPr>
      <w:r>
        <w:rPr>
          <w:rStyle w:val="Odwoanieprzypisudolnego"/>
        </w:rPr>
        <w:footnoteRef/>
      </w:r>
      <w:r w:rsidRPr="00627832">
        <w:rPr>
          <w:rFonts w:ascii="Arial Narrow" w:hAnsi="Arial Narrow"/>
          <w:sz w:val="16"/>
          <w:szCs w:val="16"/>
        </w:rPr>
        <w:t xml:space="preserve"> </w:t>
      </w:r>
      <w:r w:rsidRPr="00627832">
        <w:rPr>
          <w:rFonts w:ascii="Arial Narrow" w:hAnsi="Arial Narrow"/>
          <w:sz w:val="18"/>
          <w:szCs w:val="18"/>
        </w:rPr>
        <w:t>Za wyjątkiem sytuacji gdy pomiar jest dokonywany w okresie luty-kwiecień w roku nieprzestępnym. Wówczas za 3 miesiące kalendarzowe należy rozumieć okres co najmniej 89 dni kalendarzowych.</w:t>
      </w:r>
    </w:p>
  </w:footnote>
  <w:footnote w:id="4">
    <w:p w:rsidR="00FA31F6" w:rsidRDefault="00FA31F6" w:rsidP="00B663EE">
      <w:pPr>
        <w:pStyle w:val="Tekstprzypisudolnego"/>
        <w:jc w:val="both"/>
      </w:pPr>
      <w:r>
        <w:rPr>
          <w:rStyle w:val="Odwoanieprzypisudolnego"/>
        </w:rPr>
        <w:footnoteRef/>
      </w:r>
      <w:r>
        <w:t xml:space="preserve"> </w:t>
      </w:r>
      <w:r w:rsidRPr="00FA31F6">
        <w:rPr>
          <w:rFonts w:ascii="Arial Narrow" w:hAnsi="Arial Narrow"/>
          <w:sz w:val="18"/>
          <w:szCs w:val="18"/>
        </w:rPr>
        <w:t>Jeśli postanowienia umowy cywilnoprawnej nie zawierają wszystkich elementów niezbędnych do weryfikacji spełnienia kryterium efektywności zatrudnieniowej, możliwe jest uzupełnienie tych informacji poprzez zaświadczenie wydawane przez pracodawcę.</w:t>
      </w:r>
    </w:p>
  </w:footnote>
  <w:footnote w:id="5">
    <w:p w:rsidR="00B663EE" w:rsidRDefault="00B663EE" w:rsidP="00B663EE">
      <w:pPr>
        <w:pStyle w:val="Tekstprzypisudolnego"/>
        <w:jc w:val="both"/>
      </w:pPr>
      <w:r>
        <w:rPr>
          <w:rStyle w:val="Odwoanieprzypisudolnego"/>
        </w:rPr>
        <w:footnoteRef/>
      </w:r>
      <w:r>
        <w:t xml:space="preserve"> </w:t>
      </w:r>
      <w:r w:rsidRPr="00B663EE">
        <w:rPr>
          <w:rFonts w:ascii="Arial Narrow" w:hAnsi="Arial Narrow"/>
          <w:sz w:val="18"/>
          <w:szCs w:val="18"/>
        </w:rPr>
        <w:t>Okres umowy musi być ciągły, bez przerw – wyjątek stanowią dni świąteczne, które nie są traktowane jako przerwy.</w:t>
      </w:r>
    </w:p>
  </w:footnote>
  <w:footnote w:id="6">
    <w:p w:rsidR="00B663EE" w:rsidRDefault="00B663EE" w:rsidP="00B663EE">
      <w:pPr>
        <w:pStyle w:val="Tekstprzypisudolnego"/>
        <w:jc w:val="both"/>
      </w:pPr>
      <w:r>
        <w:rPr>
          <w:rStyle w:val="Odwoanieprzypisudolnego"/>
        </w:rPr>
        <w:footnoteRef/>
      </w:r>
      <w:r>
        <w:t xml:space="preserve"> </w:t>
      </w:r>
      <w:r w:rsidRPr="00B663EE">
        <w:rPr>
          <w:rFonts w:ascii="Arial Narrow" w:hAnsi="Arial Narrow"/>
          <w:sz w:val="18"/>
          <w:szCs w:val="18"/>
        </w:rPr>
        <w:t>Miesięczne wynagrodzenie w ramach umowy cywilnoprawnej musi odpowiadać co najmniej minimalnemu wynagrodzeniu za pracę ustalanemu na podstawie przepisów o minimalnym wynagrodzeniu za pracę, z zastrzeżeniem, że stawka za godzinę pracy nie może być niższa od minimalnej stawki godzinowej ustalonej na podstawie przepisów o minimalnym wynagrodzeniu za pracę. Zatem, w przypadku, gdy umowa cywilnoprawna zostanie zawarta na okres powyżej trzech miesięcy, kwota wynagrodzenia musi być proporcjonalna do okresu zawartej umowy (np. wartość umowy zawartej na cztery miesiące musi być równa lub wyższa od czterokrotności minimalnego wynagrodzenia za pracę ustalanego na podstawie przepisów o minimalnym wynagrodzeniu za pracę).</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F6481"/>
    <w:multiLevelType w:val="hybridMultilevel"/>
    <w:tmpl w:val="C4EAF0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C594191"/>
    <w:multiLevelType w:val="hybridMultilevel"/>
    <w:tmpl w:val="9B5A7C92"/>
    <w:lvl w:ilvl="0" w:tplc="89248A84">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2A3C0C7D"/>
    <w:multiLevelType w:val="hybridMultilevel"/>
    <w:tmpl w:val="7F1E0C26"/>
    <w:lvl w:ilvl="0" w:tplc="AC6E8610">
      <w:start w:val="1"/>
      <w:numFmt w:val="lowerLetter"/>
      <w:lvlText w:val="%1)"/>
      <w:lvlJc w:val="left"/>
      <w:pPr>
        <w:ind w:left="777" w:hanging="360"/>
      </w:pPr>
    </w:lvl>
    <w:lvl w:ilvl="1" w:tplc="04150019">
      <w:start w:val="1"/>
      <w:numFmt w:val="lowerLetter"/>
      <w:lvlText w:val="%2."/>
      <w:lvlJc w:val="left"/>
      <w:pPr>
        <w:ind w:left="1497" w:hanging="360"/>
      </w:pPr>
    </w:lvl>
    <w:lvl w:ilvl="2" w:tplc="0415001B">
      <w:start w:val="1"/>
      <w:numFmt w:val="lowerRoman"/>
      <w:lvlText w:val="%3."/>
      <w:lvlJc w:val="right"/>
      <w:pPr>
        <w:ind w:left="2217" w:hanging="180"/>
      </w:pPr>
    </w:lvl>
    <w:lvl w:ilvl="3" w:tplc="0415000F">
      <w:start w:val="1"/>
      <w:numFmt w:val="decimal"/>
      <w:lvlText w:val="%4."/>
      <w:lvlJc w:val="left"/>
      <w:pPr>
        <w:ind w:left="2937" w:hanging="360"/>
      </w:pPr>
    </w:lvl>
    <w:lvl w:ilvl="4" w:tplc="04150019">
      <w:start w:val="1"/>
      <w:numFmt w:val="lowerLetter"/>
      <w:lvlText w:val="%5."/>
      <w:lvlJc w:val="left"/>
      <w:pPr>
        <w:ind w:left="3657" w:hanging="360"/>
      </w:pPr>
    </w:lvl>
    <w:lvl w:ilvl="5" w:tplc="0415001B">
      <w:start w:val="1"/>
      <w:numFmt w:val="lowerRoman"/>
      <w:lvlText w:val="%6."/>
      <w:lvlJc w:val="right"/>
      <w:pPr>
        <w:ind w:left="4377" w:hanging="180"/>
      </w:pPr>
    </w:lvl>
    <w:lvl w:ilvl="6" w:tplc="0415000F">
      <w:start w:val="1"/>
      <w:numFmt w:val="decimal"/>
      <w:lvlText w:val="%7."/>
      <w:lvlJc w:val="left"/>
      <w:pPr>
        <w:ind w:left="5097" w:hanging="360"/>
      </w:pPr>
    </w:lvl>
    <w:lvl w:ilvl="7" w:tplc="04150019">
      <w:start w:val="1"/>
      <w:numFmt w:val="lowerLetter"/>
      <w:lvlText w:val="%8."/>
      <w:lvlJc w:val="left"/>
      <w:pPr>
        <w:ind w:left="5817" w:hanging="360"/>
      </w:pPr>
    </w:lvl>
    <w:lvl w:ilvl="8" w:tplc="0415001B">
      <w:start w:val="1"/>
      <w:numFmt w:val="lowerRoman"/>
      <w:lvlText w:val="%9."/>
      <w:lvlJc w:val="right"/>
      <w:pPr>
        <w:ind w:left="6537" w:hanging="180"/>
      </w:pPr>
    </w:lvl>
  </w:abstractNum>
  <w:abstractNum w:abstractNumId="3">
    <w:nsid w:val="42FA29E0"/>
    <w:multiLevelType w:val="hybridMultilevel"/>
    <w:tmpl w:val="AF9C7E8C"/>
    <w:lvl w:ilvl="0" w:tplc="47002A4E">
      <w:start w:val="1"/>
      <w:numFmt w:val="decimal"/>
      <w:pStyle w:val="Akapitzlist"/>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44B2329F"/>
    <w:multiLevelType w:val="hybridMultilevel"/>
    <w:tmpl w:val="45DC60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5903064E"/>
    <w:multiLevelType w:val="hybridMultilevel"/>
    <w:tmpl w:val="FAF2AD60"/>
    <w:lvl w:ilvl="0" w:tplc="D21864CE">
      <w:start w:val="1"/>
      <w:numFmt w:val="lowerLetter"/>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5AC62F55"/>
    <w:multiLevelType w:val="hybridMultilevel"/>
    <w:tmpl w:val="BDE45E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63504E4C"/>
    <w:multiLevelType w:val="hybridMultilevel"/>
    <w:tmpl w:val="F7DE8BC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659E3B27"/>
    <w:multiLevelType w:val="hybridMultilevel"/>
    <w:tmpl w:val="7F1E0C26"/>
    <w:lvl w:ilvl="0" w:tplc="AC6E8610">
      <w:start w:val="1"/>
      <w:numFmt w:val="lowerLetter"/>
      <w:lvlText w:val="%1)"/>
      <w:lvlJc w:val="left"/>
      <w:pPr>
        <w:ind w:left="777" w:hanging="360"/>
      </w:pPr>
    </w:lvl>
    <w:lvl w:ilvl="1" w:tplc="04150019">
      <w:start w:val="1"/>
      <w:numFmt w:val="lowerLetter"/>
      <w:lvlText w:val="%2."/>
      <w:lvlJc w:val="left"/>
      <w:pPr>
        <w:ind w:left="1497" w:hanging="360"/>
      </w:pPr>
    </w:lvl>
    <w:lvl w:ilvl="2" w:tplc="0415001B">
      <w:start w:val="1"/>
      <w:numFmt w:val="lowerRoman"/>
      <w:lvlText w:val="%3."/>
      <w:lvlJc w:val="right"/>
      <w:pPr>
        <w:ind w:left="2217" w:hanging="180"/>
      </w:pPr>
    </w:lvl>
    <w:lvl w:ilvl="3" w:tplc="0415000F">
      <w:start w:val="1"/>
      <w:numFmt w:val="decimal"/>
      <w:lvlText w:val="%4."/>
      <w:lvlJc w:val="left"/>
      <w:pPr>
        <w:ind w:left="2937" w:hanging="360"/>
      </w:pPr>
    </w:lvl>
    <w:lvl w:ilvl="4" w:tplc="04150019">
      <w:start w:val="1"/>
      <w:numFmt w:val="lowerLetter"/>
      <w:lvlText w:val="%5."/>
      <w:lvlJc w:val="left"/>
      <w:pPr>
        <w:ind w:left="3657" w:hanging="360"/>
      </w:pPr>
    </w:lvl>
    <w:lvl w:ilvl="5" w:tplc="0415001B">
      <w:start w:val="1"/>
      <w:numFmt w:val="lowerRoman"/>
      <w:lvlText w:val="%6."/>
      <w:lvlJc w:val="right"/>
      <w:pPr>
        <w:ind w:left="4377" w:hanging="180"/>
      </w:pPr>
    </w:lvl>
    <w:lvl w:ilvl="6" w:tplc="0415000F">
      <w:start w:val="1"/>
      <w:numFmt w:val="decimal"/>
      <w:lvlText w:val="%7."/>
      <w:lvlJc w:val="left"/>
      <w:pPr>
        <w:ind w:left="5097" w:hanging="360"/>
      </w:pPr>
    </w:lvl>
    <w:lvl w:ilvl="7" w:tplc="04150019">
      <w:start w:val="1"/>
      <w:numFmt w:val="lowerLetter"/>
      <w:lvlText w:val="%8."/>
      <w:lvlJc w:val="left"/>
      <w:pPr>
        <w:ind w:left="5817" w:hanging="360"/>
      </w:pPr>
    </w:lvl>
    <w:lvl w:ilvl="8" w:tplc="0415001B">
      <w:start w:val="1"/>
      <w:numFmt w:val="lowerRoman"/>
      <w:lvlText w:val="%9."/>
      <w:lvlJc w:val="right"/>
      <w:pPr>
        <w:ind w:left="6537" w:hanging="180"/>
      </w:pPr>
    </w:lvl>
  </w:abstractNum>
  <w:num w:numId="1">
    <w:abstractNumId w:val="1"/>
  </w:num>
  <w:num w:numId="2">
    <w:abstractNumId w:val="6"/>
  </w:num>
  <w:num w:numId="3">
    <w:abstractNumId w:val="0"/>
  </w:num>
  <w:num w:numId="4">
    <w:abstractNumId w:val="4"/>
  </w:num>
  <w:num w:numId="5">
    <w:abstractNumId w:val="7"/>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A5E25"/>
    <w:rsid w:val="000C2512"/>
    <w:rsid w:val="000F48D0"/>
    <w:rsid w:val="001140A1"/>
    <w:rsid w:val="001A5764"/>
    <w:rsid w:val="002664CA"/>
    <w:rsid w:val="003469E3"/>
    <w:rsid w:val="003759ED"/>
    <w:rsid w:val="003B6675"/>
    <w:rsid w:val="00404027"/>
    <w:rsid w:val="004355CD"/>
    <w:rsid w:val="0045474B"/>
    <w:rsid w:val="004F0B33"/>
    <w:rsid w:val="005631ED"/>
    <w:rsid w:val="005E2B1B"/>
    <w:rsid w:val="00627832"/>
    <w:rsid w:val="00662525"/>
    <w:rsid w:val="006744C9"/>
    <w:rsid w:val="007D5A41"/>
    <w:rsid w:val="008F7A9B"/>
    <w:rsid w:val="0099796C"/>
    <w:rsid w:val="009E07AD"/>
    <w:rsid w:val="009E1507"/>
    <w:rsid w:val="00A914E3"/>
    <w:rsid w:val="00AA5E25"/>
    <w:rsid w:val="00AA6405"/>
    <w:rsid w:val="00AD1D99"/>
    <w:rsid w:val="00B03F48"/>
    <w:rsid w:val="00B663EE"/>
    <w:rsid w:val="00BA7197"/>
    <w:rsid w:val="00BB2F48"/>
    <w:rsid w:val="00C7056D"/>
    <w:rsid w:val="00D76735"/>
    <w:rsid w:val="00D86898"/>
    <w:rsid w:val="00DD69E2"/>
    <w:rsid w:val="00E74704"/>
    <w:rsid w:val="00F14F1F"/>
    <w:rsid w:val="00F6140B"/>
    <w:rsid w:val="00F71265"/>
    <w:rsid w:val="00FA31F6"/>
    <w:rsid w:val="00FD60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A5E25"/>
    <w:pPr>
      <w:spacing w:after="12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autoRedefine/>
    <w:qFormat/>
    <w:rsid w:val="005E2B1B"/>
    <w:pPr>
      <w:numPr>
        <w:numId w:val="6"/>
      </w:numPr>
      <w:tabs>
        <w:tab w:val="left" w:pos="262"/>
      </w:tabs>
      <w:suppressAutoHyphens/>
      <w:autoSpaceDE w:val="0"/>
      <w:autoSpaceDN w:val="0"/>
      <w:adjustRightInd w:val="0"/>
      <w:spacing w:before="60" w:after="0" w:line="276" w:lineRule="auto"/>
      <w:ind w:left="0" w:firstLine="0"/>
      <w:contextualSpacing/>
      <w:jc w:val="both"/>
    </w:pPr>
    <w:rPr>
      <w:rFonts w:ascii="Arial Narrow" w:hAnsi="Arial Narrow" w:cs="Calibri"/>
    </w:rPr>
  </w:style>
  <w:style w:type="character" w:styleId="Odwoaniedokomentarza">
    <w:name w:val="annotation reference"/>
    <w:unhideWhenUsed/>
    <w:rsid w:val="00AA5E25"/>
    <w:rPr>
      <w:sz w:val="16"/>
      <w:szCs w:val="16"/>
    </w:rPr>
  </w:style>
  <w:style w:type="paragraph" w:styleId="Tekstkomentarza">
    <w:name w:val="annotation text"/>
    <w:basedOn w:val="Normalny"/>
    <w:link w:val="TekstkomentarzaZnak"/>
    <w:uiPriority w:val="99"/>
    <w:unhideWhenUsed/>
    <w:rsid w:val="00AA5E25"/>
    <w:rPr>
      <w:sz w:val="20"/>
      <w:szCs w:val="20"/>
    </w:rPr>
  </w:style>
  <w:style w:type="character" w:customStyle="1" w:styleId="TekstkomentarzaZnak">
    <w:name w:val="Tekst komentarza Znak"/>
    <w:basedOn w:val="Domylnaczcionkaakapitu"/>
    <w:link w:val="Tekstkomentarza"/>
    <w:uiPriority w:val="99"/>
    <w:rsid w:val="00AA5E25"/>
    <w:rPr>
      <w:rFonts w:ascii="Times New Roman" w:eastAsia="Times New Roman" w:hAnsi="Times New Roman" w:cs="Times New Roman"/>
      <w:sz w:val="20"/>
      <w:szCs w:val="20"/>
      <w:lang w:eastAsia="pl-PL"/>
    </w:rPr>
  </w:style>
  <w:style w:type="character" w:customStyle="1" w:styleId="AkapitzlistZnak">
    <w:name w:val="Akapit z listą Znak"/>
    <w:link w:val="Akapitzlist"/>
    <w:locked/>
    <w:rsid w:val="005E2B1B"/>
    <w:rPr>
      <w:rFonts w:ascii="Arial Narrow" w:eastAsia="Times New Roman" w:hAnsi="Arial Narrow" w:cs="Calibri"/>
      <w:sz w:val="24"/>
      <w:szCs w:val="24"/>
      <w:lang w:eastAsia="pl-PL"/>
    </w:rPr>
  </w:style>
  <w:style w:type="paragraph" w:styleId="Tekstdymka">
    <w:name w:val="Balloon Text"/>
    <w:basedOn w:val="Normalny"/>
    <w:link w:val="TekstdymkaZnak"/>
    <w:uiPriority w:val="99"/>
    <w:semiHidden/>
    <w:unhideWhenUsed/>
    <w:rsid w:val="00AA5E25"/>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AA5E25"/>
    <w:rPr>
      <w:rFonts w:ascii="Tahoma" w:eastAsia="Times New Roman" w:hAnsi="Tahoma" w:cs="Tahoma"/>
      <w:sz w:val="16"/>
      <w:szCs w:val="16"/>
      <w:lang w:eastAsia="pl-PL"/>
    </w:rPr>
  </w:style>
  <w:style w:type="paragraph" w:customStyle="1" w:styleId="Default">
    <w:name w:val="Default"/>
    <w:rsid w:val="00AA5E25"/>
    <w:pPr>
      <w:autoSpaceDE w:val="0"/>
      <w:autoSpaceDN w:val="0"/>
      <w:adjustRightInd w:val="0"/>
      <w:spacing w:after="120" w:line="240" w:lineRule="auto"/>
    </w:pPr>
    <w:rPr>
      <w:rFonts w:ascii="Arial" w:eastAsia="Calibri" w:hAnsi="Arial" w:cs="Arial"/>
      <w:color w:val="000000"/>
      <w:sz w:val="24"/>
      <w:szCs w:val="24"/>
      <w:lang w:eastAsia="pl-PL"/>
    </w:rPr>
  </w:style>
  <w:style w:type="character" w:styleId="Hipercze">
    <w:name w:val="Hyperlink"/>
    <w:uiPriority w:val="99"/>
    <w:rsid w:val="002664CA"/>
    <w:rPr>
      <w:rFonts w:cs="Times New Roman"/>
      <w:color w:val="0000FF"/>
      <w:u w:val="single"/>
    </w:rPr>
  </w:style>
  <w:style w:type="character" w:styleId="UyteHipercze">
    <w:name w:val="FollowedHyperlink"/>
    <w:basedOn w:val="Domylnaczcionkaakapitu"/>
    <w:uiPriority w:val="99"/>
    <w:semiHidden/>
    <w:unhideWhenUsed/>
    <w:rsid w:val="00BA7197"/>
    <w:rPr>
      <w:color w:val="800080" w:themeColor="followedHyperlink"/>
      <w:u w:val="single"/>
    </w:rPr>
  </w:style>
  <w:style w:type="paragraph" w:styleId="Tekstprzypisudolnego">
    <w:name w:val="footnote text"/>
    <w:aliases w:val="Tekst przypisu,-E Fuﬂnotentext,Fuﬂnotentext Ursprung,Fußnotentext Ursprung,-E Fußnotentext,Fußnote,Podrozdział,Footnote,Podrozdzia3,Footnote text,Tekst przypisu Znak Znak Znak Znak,Znak,FOOTNOTES,o,fn,Znak Znak,Zna,footnote text"/>
    <w:basedOn w:val="Normalny"/>
    <w:link w:val="TekstprzypisudolnegoZnak"/>
    <w:unhideWhenUsed/>
    <w:rsid w:val="003759ED"/>
    <w:pPr>
      <w:spacing w:after="0"/>
    </w:pPr>
    <w:rPr>
      <w:sz w:val="20"/>
      <w:szCs w:val="20"/>
    </w:rPr>
  </w:style>
  <w:style w:type="character" w:customStyle="1" w:styleId="TekstprzypisudolnegoZnak">
    <w:name w:val="Tekst przypisu dolnego Znak"/>
    <w:aliases w:val="Tekst przypisu Znak,-E Fuﬂnotentext Znak,Fuﬂnotentext Ursprung Znak,Fußnotentext Ursprung Znak,-E Fußnotentext Znak,Fußnote Znak,Podrozdział Znak,Footnote Znak,Podrozdzia3 Znak,Footnote text Znak,Znak Znak1,FOOTNOTES Znak"/>
    <w:basedOn w:val="Domylnaczcionkaakapitu"/>
    <w:link w:val="Tekstprzypisudolnego"/>
    <w:rsid w:val="003759ED"/>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3759E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funduszeeuropejskie.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B7E9A-88FE-483A-83C4-ACF593086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4</Pages>
  <Words>1426</Words>
  <Characters>8559</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Krystyna Górnicka</dc:creator>
  <cp:keywords/>
  <dc:description/>
  <cp:lastModifiedBy>Maciej Rogaliński</cp:lastModifiedBy>
  <cp:revision>21</cp:revision>
  <dcterms:created xsi:type="dcterms:W3CDTF">2016-01-27T06:45:00Z</dcterms:created>
  <dcterms:modified xsi:type="dcterms:W3CDTF">2017-03-01T13:31:00Z</dcterms:modified>
</cp:coreProperties>
</file>